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7F" w:rsidRPr="00955691" w:rsidRDefault="00813D7F" w:rsidP="00813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55691">
        <w:rPr>
          <w:rFonts w:ascii="Times New Roman" w:hAnsi="Times New Roman" w:cs="Times New Roman"/>
          <w:sz w:val="24"/>
          <w:szCs w:val="24"/>
        </w:rPr>
        <w:t xml:space="preserve">Diferentemente do europeu, o </w:t>
      </w:r>
      <w:proofErr w:type="spellStart"/>
      <w:r w:rsidRPr="00955691">
        <w:rPr>
          <w:rFonts w:ascii="Times New Roman" w:hAnsi="Times New Roman" w:cs="Times New Roman"/>
          <w:sz w:val="24"/>
          <w:szCs w:val="24"/>
        </w:rPr>
        <w:t>ultraimperialismo</w:t>
      </w:r>
      <w:proofErr w:type="spellEnd"/>
      <w:r w:rsidRPr="00955691">
        <w:rPr>
          <w:rFonts w:ascii="Times New Roman" w:hAnsi="Times New Roman" w:cs="Times New Roman"/>
          <w:sz w:val="24"/>
          <w:szCs w:val="24"/>
        </w:rPr>
        <w:t xml:space="preserve"> americano afirma-se como futuro não reativo; um além de, inscrito no prefixo “ultra”. No que diz respeito a essa questão semântica, o termo </w:t>
      </w:r>
      <w:proofErr w:type="spellStart"/>
      <w:r w:rsidRPr="00955691">
        <w:rPr>
          <w:rFonts w:ascii="Times New Roman" w:hAnsi="Times New Roman" w:cs="Times New Roman"/>
          <w:sz w:val="24"/>
          <w:szCs w:val="24"/>
        </w:rPr>
        <w:t>ultraimperialismo</w:t>
      </w:r>
      <w:proofErr w:type="spellEnd"/>
      <w:r w:rsidRPr="00955691">
        <w:rPr>
          <w:rFonts w:ascii="Times New Roman" w:hAnsi="Times New Roman" w:cs="Times New Roman"/>
          <w:sz w:val="24"/>
          <w:szCs w:val="24"/>
        </w:rPr>
        <w:t xml:space="preserve"> parece cumprir, portanto, plenamente sua </w:t>
      </w:r>
      <w:r>
        <w:rPr>
          <w:rFonts w:ascii="Times New Roman" w:hAnsi="Times New Roman" w:cs="Times New Roman"/>
          <w:sz w:val="24"/>
          <w:szCs w:val="24"/>
        </w:rPr>
        <w:t xml:space="preserve">função: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r w:rsidRPr="00955691">
        <w:rPr>
          <w:rFonts w:ascii="Times New Roman" w:hAnsi="Times New Roman" w:cs="Times New Roman"/>
          <w:sz w:val="24"/>
          <w:szCs w:val="24"/>
        </w:rPr>
        <w:t>traim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55691">
        <w:rPr>
          <w:rFonts w:ascii="Times New Roman" w:hAnsi="Times New Roman" w:cs="Times New Roman"/>
          <w:sz w:val="24"/>
          <w:szCs w:val="24"/>
        </w:rPr>
        <w:t>erialismo</w:t>
      </w:r>
      <w:proofErr w:type="spellEnd"/>
      <w:r w:rsidRPr="00955691">
        <w:rPr>
          <w:rFonts w:ascii="Times New Roman" w:hAnsi="Times New Roman" w:cs="Times New Roman"/>
          <w:sz w:val="24"/>
          <w:szCs w:val="24"/>
        </w:rPr>
        <w:t xml:space="preserve"> se constitui como a emergência de uma força pós-imperialista que vai além</w:t>
      </w:r>
      <w:r>
        <w:rPr>
          <w:rFonts w:ascii="Times New Roman" w:hAnsi="Times New Roman" w:cs="Times New Roman"/>
          <w:sz w:val="24"/>
          <w:szCs w:val="24"/>
        </w:rPr>
        <w:t xml:space="preserve"> do imperialismo europeu, superando-o</w:t>
      </w:r>
      <w:r w:rsidRPr="009556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CB1" w:rsidRPr="00813D7F" w:rsidRDefault="00813D7F" w:rsidP="00813D7F">
      <w:r>
        <w:rPr>
          <w:rFonts w:ascii="Times New Roman" w:hAnsi="Times New Roman" w:cs="Times New Roman"/>
          <w:sz w:val="24"/>
          <w:szCs w:val="24"/>
        </w:rPr>
        <w:tab/>
      </w:r>
      <w:r w:rsidRPr="00955691">
        <w:rPr>
          <w:rFonts w:ascii="Times New Roman" w:hAnsi="Times New Roman" w:cs="Times New Roman"/>
          <w:sz w:val="24"/>
          <w:szCs w:val="24"/>
        </w:rPr>
        <w:t xml:space="preserve">Esse argumento pressupõe que o </w:t>
      </w:r>
      <w:proofErr w:type="spellStart"/>
      <w:r w:rsidRPr="00955691">
        <w:rPr>
          <w:rFonts w:ascii="Times New Roman" w:hAnsi="Times New Roman" w:cs="Times New Roman"/>
          <w:sz w:val="24"/>
          <w:szCs w:val="24"/>
        </w:rPr>
        <w:t>ultraimperialismo</w:t>
      </w:r>
      <w:proofErr w:type="spellEnd"/>
      <w:r w:rsidRPr="00955691">
        <w:rPr>
          <w:rFonts w:ascii="Times New Roman" w:hAnsi="Times New Roman" w:cs="Times New Roman"/>
          <w:sz w:val="24"/>
          <w:szCs w:val="24"/>
        </w:rPr>
        <w:t xml:space="preserve"> se configuraria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691">
        <w:rPr>
          <w:rFonts w:ascii="Times New Roman" w:hAnsi="Times New Roman" w:cs="Times New Roman"/>
          <w:sz w:val="24"/>
          <w:szCs w:val="24"/>
        </w:rPr>
        <w:t>como uma espécie de “</w:t>
      </w:r>
      <w:proofErr w:type="spellStart"/>
      <w:r w:rsidRPr="00955691">
        <w:rPr>
          <w:rFonts w:ascii="Times New Roman" w:hAnsi="Times New Roman" w:cs="Times New Roman"/>
          <w:sz w:val="24"/>
          <w:szCs w:val="24"/>
        </w:rPr>
        <w:t>metaimperialismo</w:t>
      </w:r>
      <w:proofErr w:type="spellEnd"/>
      <w:r w:rsidRPr="00955691">
        <w:rPr>
          <w:rFonts w:ascii="Times New Roman" w:hAnsi="Times New Roman" w:cs="Times New Roman"/>
          <w:sz w:val="24"/>
          <w:szCs w:val="24"/>
        </w:rPr>
        <w:t>” ou o imperialismo que põe em foco os imperialismos precedentes ( e inclusive o próprio socialismo real) e os gerencia dentro de seu desafio de se fazer como o espectro completo da dominação soberana da era do capitalismo monopólico, industrial-militar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556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D7F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3D7F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813D7F">
        <w:rPr>
          <w:rFonts w:ascii="Times New Roman" w:hAnsi="Times New Roman" w:cs="Times New Roman"/>
          <w:b/>
          <w:sz w:val="24"/>
          <w:szCs w:val="24"/>
        </w:rPr>
        <w:t>ultraimperialismo</w:t>
      </w:r>
      <w:proofErr w:type="spellEnd"/>
      <w:r w:rsidRPr="00813D7F">
        <w:rPr>
          <w:rFonts w:ascii="Times New Roman" w:hAnsi="Times New Roman" w:cs="Times New Roman"/>
          <w:b/>
          <w:sz w:val="24"/>
          <w:szCs w:val="24"/>
        </w:rPr>
        <w:t xml:space="preserve"> americano e a antropofagia matriarcal da literatura brasileira</w:t>
      </w:r>
      <w:r>
        <w:rPr>
          <w:rFonts w:ascii="Times New Roman" w:hAnsi="Times New Roman" w:cs="Times New Roman"/>
          <w:sz w:val="24"/>
          <w:szCs w:val="24"/>
        </w:rPr>
        <w:t>, p.. 79.</w:t>
      </w:r>
    </w:p>
    <w:sectPr w:rsidR="00CE0CB1" w:rsidRPr="00813D7F" w:rsidSect="00CE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813D7F"/>
    <w:rsid w:val="00813D7F"/>
    <w:rsid w:val="00CE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7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2019-03-26T19:00:00Z</dcterms:created>
  <dcterms:modified xsi:type="dcterms:W3CDTF">2019-03-26T19:17:00Z</dcterms:modified>
</cp:coreProperties>
</file>